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31B5" w14:textId="77777777" w:rsidR="00F70CAA" w:rsidRPr="002D5C87" w:rsidRDefault="00F70CAA" w:rsidP="00F70CAA">
      <w:pPr>
        <w:rPr>
          <w:rFonts w:ascii="Arial Narrow" w:hAnsi="Arial Narrow"/>
          <w:b/>
          <w:color w:val="000000"/>
          <w:sz w:val="20"/>
          <w:szCs w:val="20"/>
        </w:rPr>
      </w:pPr>
      <w:r w:rsidRPr="002D5C87">
        <w:rPr>
          <w:rFonts w:ascii="Arial Narrow" w:hAnsi="Arial Narrow"/>
          <w:b/>
          <w:color w:val="000000"/>
          <w:sz w:val="20"/>
          <w:szCs w:val="20"/>
        </w:rPr>
        <w:t>Zkrácená informace o léčivém přípravku:</w:t>
      </w:r>
    </w:p>
    <w:p w14:paraId="0D7AA87A" w14:textId="77777777" w:rsidR="00F70CAA" w:rsidRPr="002D5C87" w:rsidRDefault="00F70CAA" w:rsidP="00F70CAA">
      <w:pPr>
        <w:jc w:val="both"/>
        <w:rPr>
          <w:rFonts w:ascii="Arial Narrow" w:hAnsi="Arial Narrow"/>
          <w:b/>
          <w:color w:val="000000"/>
          <w:sz w:val="20"/>
          <w:szCs w:val="20"/>
        </w:rPr>
      </w:pPr>
      <w:proofErr w:type="spellStart"/>
      <w:r w:rsidRPr="002D5C87">
        <w:rPr>
          <w:rFonts w:ascii="Arial Narrow" w:hAnsi="Arial Narrow"/>
          <w:b/>
          <w:color w:val="000000"/>
          <w:sz w:val="20"/>
          <w:szCs w:val="20"/>
        </w:rPr>
        <w:t>Jardiance</w:t>
      </w:r>
      <w:proofErr w:type="spellEnd"/>
      <w:r w:rsidRPr="002D5C87">
        <w:rPr>
          <w:rFonts w:ascii="Arial Narrow" w:hAnsi="Arial Narrow"/>
          <w:b/>
          <w:color w:val="000000"/>
          <w:sz w:val="20"/>
          <w:szCs w:val="20"/>
        </w:rPr>
        <w:t xml:space="preserve"> 10 mg potahované tablety</w:t>
      </w:r>
    </w:p>
    <w:p w14:paraId="359DFAE1" w14:textId="2BF3B463" w:rsidR="00BD7380" w:rsidRPr="002D5C87" w:rsidRDefault="00F70CAA" w:rsidP="00114281">
      <w:pPr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2D5C87">
        <w:rPr>
          <w:rFonts w:ascii="Arial Narrow" w:hAnsi="Arial Narrow"/>
          <w:b/>
          <w:color w:val="000000"/>
          <w:sz w:val="20"/>
          <w:szCs w:val="20"/>
        </w:rPr>
        <w:t>Složení: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Jardiance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10 mg: jedna tableta obsahuje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empagliflozinum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10 mg.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Indikace: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K léčbě diabetes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mellitus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II. typu ke zlepšení kontroly glykémie u dospělých </w:t>
      </w:r>
      <w:r w:rsidR="00502AE6">
        <w:rPr>
          <w:rFonts w:ascii="Arial Narrow" w:hAnsi="Arial Narrow"/>
          <w:bCs/>
          <w:color w:val="000000"/>
          <w:sz w:val="20"/>
          <w:szCs w:val="20"/>
        </w:rPr>
        <w:t>a dětí ve věku 10 let a starších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s nedostatečnou kompenzací diabetu samotnou dietou a tělesným cvičením: jako </w:t>
      </w:r>
      <w:proofErr w:type="spellStart"/>
      <w:proofErr w:type="gramStart"/>
      <w:r w:rsidRPr="002D5C87">
        <w:rPr>
          <w:rFonts w:ascii="Arial Narrow" w:hAnsi="Arial Narrow"/>
          <w:bCs/>
          <w:color w:val="000000"/>
          <w:sz w:val="20"/>
          <w:szCs w:val="20"/>
        </w:rPr>
        <w:t>monoterapie</w:t>
      </w:r>
      <w:proofErr w:type="spellEnd"/>
      <w:proofErr w:type="gram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pokud je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metformin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nevhodný z důvodu nesnášenlivosti; v kombinaci s jinými léčivými přípravky ke snížení hladiny glukózy, včetně kombinace s inzulinem. </w:t>
      </w:r>
      <w:r w:rsidR="00E85178" w:rsidRPr="002D5C87">
        <w:rPr>
          <w:rFonts w:ascii="Arial Narrow" w:hAnsi="Arial Narrow"/>
          <w:bCs/>
          <w:color w:val="000000"/>
          <w:sz w:val="20"/>
          <w:szCs w:val="20"/>
        </w:rPr>
        <w:t>K léčbě dospělých se symptomatickým chronickým srdečním selháním</w:t>
      </w:r>
      <w:r w:rsidR="00060269" w:rsidRPr="002D5C87">
        <w:rPr>
          <w:rFonts w:ascii="Arial Narrow" w:hAnsi="Arial Narrow"/>
          <w:bCs/>
          <w:color w:val="000000"/>
          <w:sz w:val="20"/>
          <w:szCs w:val="20"/>
        </w:rPr>
        <w:t>.</w:t>
      </w:r>
      <w:r w:rsidR="00E85178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2D5C87" w:rsidRPr="002D5C87">
        <w:rPr>
          <w:rFonts w:ascii="Arial Narrow" w:hAnsi="Arial Narrow"/>
          <w:color w:val="000000"/>
          <w:sz w:val="20"/>
          <w:szCs w:val="18"/>
        </w:rPr>
        <w:t>*</w:t>
      </w:r>
      <w:r w:rsidR="009C2B86" w:rsidRPr="002D5C87">
        <w:rPr>
          <w:rFonts w:ascii="Arial Narrow" w:hAnsi="Arial Narrow"/>
          <w:bCs/>
          <w:color w:val="000000"/>
          <w:sz w:val="20"/>
          <w:szCs w:val="20"/>
        </w:rPr>
        <w:t>K léčbě dospělých s chronickým onemocněním ledvin</w:t>
      </w:r>
      <w:r w:rsidR="00617737" w:rsidRPr="002D5C87">
        <w:rPr>
          <w:rFonts w:ascii="Arial Narrow" w:hAnsi="Arial Narrow"/>
          <w:bCs/>
          <w:color w:val="000000"/>
          <w:sz w:val="20"/>
          <w:szCs w:val="20"/>
        </w:rPr>
        <w:t>.</w:t>
      </w:r>
      <w:r w:rsidR="009C2B86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Dávkování a způsob podávání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: </w:t>
      </w:r>
      <w:r w:rsidR="00E85178" w:rsidRPr="002D5C87">
        <w:rPr>
          <w:rFonts w:ascii="Arial Narrow" w:hAnsi="Arial Narrow"/>
          <w:bCs/>
          <w:color w:val="000000"/>
          <w:sz w:val="20"/>
          <w:szCs w:val="20"/>
          <w:u w:val="single"/>
        </w:rPr>
        <w:t xml:space="preserve">Diabetes </w:t>
      </w:r>
      <w:proofErr w:type="spellStart"/>
      <w:r w:rsidR="00E85178" w:rsidRPr="002D5C87">
        <w:rPr>
          <w:rFonts w:ascii="Arial Narrow" w:hAnsi="Arial Narrow"/>
          <w:bCs/>
          <w:color w:val="000000"/>
          <w:sz w:val="20"/>
          <w:szCs w:val="20"/>
          <w:u w:val="single"/>
        </w:rPr>
        <w:t>mellitus</w:t>
      </w:r>
      <w:proofErr w:type="spellEnd"/>
      <w:r w:rsidR="00E85178" w:rsidRPr="002D5C87">
        <w:rPr>
          <w:rFonts w:ascii="Arial Narrow" w:hAnsi="Arial Narrow"/>
          <w:bCs/>
          <w:color w:val="000000"/>
          <w:sz w:val="20"/>
          <w:szCs w:val="20"/>
          <w:u w:val="single"/>
        </w:rPr>
        <w:t xml:space="preserve"> II. typu:</w:t>
      </w:r>
      <w:r w:rsidR="00E85178" w:rsidRPr="002D5C87">
        <w:rPr>
          <w:rFonts w:ascii="Arial Narrow" w:hAnsi="Arial Narrow"/>
          <w:bCs/>
          <w:color w:val="000000"/>
          <w:sz w:val="20"/>
          <w:szCs w:val="20"/>
        </w:rPr>
        <w:t xml:space="preserve"> p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očáteční dávka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empagliflozinu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je 10 mg jednou denně v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monoterapii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nebo v kombinované terapii. U pacientů, kteří tolerují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empagliflozin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v dávce 10 mg jednou denně, kteří mají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eGFR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≥ 60 ml/min/1,73 m2 a potřebují přísnější kontrolu glykémie, lze dávku zvýšit na 25 mg jednou denně. Maximální denní dávka je 25 mg.</w:t>
      </w:r>
      <w:r w:rsidR="00502AE6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502AE6" w:rsidRPr="00502AE6">
        <w:rPr>
          <w:rFonts w:ascii="Arial Narrow" w:hAnsi="Arial Narrow"/>
          <w:bCs/>
          <w:color w:val="000000"/>
          <w:sz w:val="20"/>
          <w:szCs w:val="20"/>
        </w:rPr>
        <w:t xml:space="preserve">U dětí s </w:t>
      </w:r>
      <w:proofErr w:type="spellStart"/>
      <w:r w:rsidR="00502AE6" w:rsidRPr="00502AE6">
        <w:rPr>
          <w:rFonts w:ascii="Arial Narrow" w:hAnsi="Arial Narrow"/>
          <w:bCs/>
          <w:color w:val="000000"/>
          <w:sz w:val="20"/>
          <w:szCs w:val="20"/>
        </w:rPr>
        <w:t>eGFR</w:t>
      </w:r>
      <w:proofErr w:type="spellEnd"/>
      <w:r w:rsidR="00502AE6" w:rsidRPr="00502AE6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proofErr w:type="gramStart"/>
      <w:r w:rsidR="00502AE6" w:rsidRPr="00502AE6">
        <w:rPr>
          <w:rFonts w:ascii="Arial Narrow" w:hAnsi="Arial Narrow"/>
          <w:bCs/>
          <w:color w:val="000000"/>
          <w:sz w:val="20"/>
          <w:szCs w:val="20"/>
        </w:rPr>
        <w:t>&lt; 60</w:t>
      </w:r>
      <w:proofErr w:type="gramEnd"/>
      <w:r w:rsidR="00502AE6" w:rsidRPr="00502AE6">
        <w:rPr>
          <w:rFonts w:ascii="Arial Narrow" w:hAnsi="Arial Narrow"/>
          <w:bCs/>
          <w:color w:val="000000"/>
          <w:sz w:val="20"/>
          <w:szCs w:val="20"/>
        </w:rPr>
        <w:t xml:space="preserve"> ml/min/1,73 m² a u dětí ve věku do 10 let nejsou dostupné žádné údaje.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E85178" w:rsidRPr="002D5C87">
        <w:rPr>
          <w:rFonts w:ascii="Arial Narrow" w:hAnsi="Arial Narrow"/>
          <w:bCs/>
          <w:color w:val="000000"/>
          <w:sz w:val="20"/>
          <w:szCs w:val="20"/>
          <w:u w:val="single"/>
        </w:rPr>
        <w:t>Srdeční selhání:</w:t>
      </w:r>
      <w:r w:rsidR="00E85178" w:rsidRPr="002D5C87">
        <w:rPr>
          <w:rFonts w:ascii="Arial Narrow" w:hAnsi="Arial Narrow"/>
          <w:bCs/>
          <w:color w:val="000000"/>
          <w:sz w:val="20"/>
          <w:szCs w:val="20"/>
        </w:rPr>
        <w:t xml:space="preserve"> doporučená dávka je 10 mg </w:t>
      </w:r>
      <w:proofErr w:type="spellStart"/>
      <w:r w:rsidR="00E85178" w:rsidRPr="002D5C87">
        <w:rPr>
          <w:rFonts w:ascii="Arial Narrow" w:hAnsi="Arial Narrow"/>
          <w:bCs/>
          <w:color w:val="000000"/>
          <w:sz w:val="20"/>
          <w:szCs w:val="20"/>
        </w:rPr>
        <w:t>empagliflozinu</w:t>
      </w:r>
      <w:proofErr w:type="spellEnd"/>
      <w:r w:rsidR="00E85178" w:rsidRPr="002D5C87">
        <w:rPr>
          <w:rFonts w:ascii="Arial Narrow" w:hAnsi="Arial Narrow"/>
          <w:bCs/>
          <w:color w:val="000000"/>
          <w:sz w:val="20"/>
          <w:szCs w:val="20"/>
        </w:rPr>
        <w:t xml:space="preserve"> jednou denně.</w:t>
      </w:r>
      <w:r w:rsidR="00D96E80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2D5C87" w:rsidRPr="002D5C87">
        <w:rPr>
          <w:rFonts w:ascii="Arial Narrow" w:hAnsi="Arial Narrow"/>
          <w:color w:val="000000"/>
          <w:sz w:val="20"/>
          <w:szCs w:val="18"/>
        </w:rPr>
        <w:t>*</w:t>
      </w:r>
      <w:r w:rsidR="00DB5AD4" w:rsidRPr="002D5C87">
        <w:rPr>
          <w:rFonts w:ascii="Arial Narrow" w:hAnsi="Arial Narrow"/>
          <w:bCs/>
          <w:color w:val="000000"/>
          <w:sz w:val="20"/>
          <w:szCs w:val="20"/>
          <w:u w:val="single"/>
        </w:rPr>
        <w:t>Chronické onemocnění ledvin</w:t>
      </w:r>
      <w:r w:rsidR="00D96E80" w:rsidRPr="002D5C87">
        <w:rPr>
          <w:rFonts w:ascii="Arial Narrow" w:hAnsi="Arial Narrow"/>
          <w:bCs/>
          <w:color w:val="000000"/>
          <w:sz w:val="20"/>
          <w:szCs w:val="20"/>
          <w:u w:val="single"/>
        </w:rPr>
        <w:t>:</w:t>
      </w:r>
      <w:r w:rsidR="00D96E80" w:rsidRPr="002D5C87">
        <w:rPr>
          <w:rFonts w:ascii="Arial Narrow" w:hAnsi="Arial Narrow"/>
          <w:bCs/>
          <w:color w:val="000000"/>
          <w:sz w:val="20"/>
          <w:szCs w:val="20"/>
        </w:rPr>
        <w:t xml:space="preserve"> doporučená dávka je 10 mg </w:t>
      </w:r>
      <w:proofErr w:type="spellStart"/>
      <w:r w:rsidR="00D96E80" w:rsidRPr="002D5C87">
        <w:rPr>
          <w:rFonts w:ascii="Arial Narrow" w:hAnsi="Arial Narrow"/>
          <w:bCs/>
          <w:color w:val="000000"/>
          <w:sz w:val="20"/>
          <w:szCs w:val="20"/>
        </w:rPr>
        <w:t>empagliflozinu</w:t>
      </w:r>
      <w:proofErr w:type="spellEnd"/>
      <w:r w:rsidR="00D96E80" w:rsidRPr="002D5C87">
        <w:rPr>
          <w:rFonts w:ascii="Arial Narrow" w:hAnsi="Arial Narrow"/>
          <w:bCs/>
          <w:color w:val="000000"/>
          <w:sz w:val="20"/>
          <w:szCs w:val="20"/>
        </w:rPr>
        <w:t xml:space="preserve"> jednou denně. </w:t>
      </w:r>
      <w:r w:rsidR="00176E13" w:rsidRPr="002D5C87">
        <w:rPr>
          <w:rFonts w:ascii="Arial Narrow" w:hAnsi="Arial Narrow"/>
          <w:bCs/>
          <w:color w:val="000000"/>
          <w:sz w:val="20"/>
          <w:szCs w:val="20"/>
        </w:rPr>
        <w:t>Nedoporučuje se</w:t>
      </w:r>
      <w:r w:rsidR="006D70DF" w:rsidRPr="002D5C87">
        <w:rPr>
          <w:rFonts w:ascii="Arial Narrow" w:hAnsi="Arial Narrow"/>
          <w:bCs/>
          <w:color w:val="000000"/>
          <w:sz w:val="20"/>
          <w:szCs w:val="20"/>
        </w:rPr>
        <w:t xml:space="preserve"> zahajovat léčbu u pacientů s </w:t>
      </w:r>
      <w:proofErr w:type="spellStart"/>
      <w:r w:rsidR="006D70DF" w:rsidRPr="002D5C87">
        <w:rPr>
          <w:rFonts w:ascii="Arial Narrow" w:hAnsi="Arial Narrow"/>
          <w:bCs/>
          <w:color w:val="000000"/>
          <w:sz w:val="20"/>
          <w:szCs w:val="20"/>
        </w:rPr>
        <w:t>eGFR</w:t>
      </w:r>
      <w:proofErr w:type="spellEnd"/>
      <w:r w:rsidR="006D70DF" w:rsidRPr="002D5C87">
        <w:rPr>
          <w:rFonts w:ascii="Arial Narrow" w:hAnsi="Arial Narrow"/>
          <w:bCs/>
          <w:color w:val="000000"/>
          <w:sz w:val="20"/>
          <w:szCs w:val="20"/>
        </w:rPr>
        <w:t xml:space="preserve"> &lt;20 ml/min/1,73 m2.</w:t>
      </w:r>
      <w:r w:rsidR="00B0627E" w:rsidRPr="002D5C87">
        <w:rPr>
          <w:rFonts w:ascii="Arial Narrow" w:hAnsi="Arial Narrow"/>
          <w:bCs/>
          <w:color w:val="000000"/>
          <w:sz w:val="20"/>
          <w:szCs w:val="20"/>
        </w:rPr>
        <w:t xml:space="preserve"> U pacientů s diabetem 2. typu se účinek </w:t>
      </w:r>
      <w:proofErr w:type="spellStart"/>
      <w:r w:rsidR="00B0627E" w:rsidRPr="002D5C87">
        <w:rPr>
          <w:rFonts w:ascii="Arial Narrow" w:hAnsi="Arial Narrow"/>
          <w:bCs/>
          <w:color w:val="000000"/>
          <w:sz w:val="20"/>
          <w:szCs w:val="20"/>
        </w:rPr>
        <w:t>empagliflozinu</w:t>
      </w:r>
      <w:proofErr w:type="spellEnd"/>
      <w:r w:rsidR="00B0627E" w:rsidRPr="002D5C87">
        <w:rPr>
          <w:rFonts w:ascii="Arial Narrow" w:hAnsi="Arial Narrow"/>
          <w:bCs/>
          <w:color w:val="000000"/>
          <w:sz w:val="20"/>
          <w:szCs w:val="20"/>
        </w:rPr>
        <w:t xml:space="preserve"> na snížení </w:t>
      </w:r>
      <w:r w:rsidR="009C049E" w:rsidRPr="002D5C87">
        <w:rPr>
          <w:rFonts w:ascii="Arial Narrow" w:hAnsi="Arial Narrow"/>
          <w:bCs/>
          <w:color w:val="000000"/>
          <w:sz w:val="20"/>
          <w:szCs w:val="20"/>
        </w:rPr>
        <w:t>glykémie</w:t>
      </w:r>
      <w:r w:rsidR="00B0627E" w:rsidRPr="002D5C87">
        <w:rPr>
          <w:rFonts w:ascii="Arial Narrow" w:hAnsi="Arial Narrow"/>
          <w:bCs/>
          <w:color w:val="000000"/>
          <w:sz w:val="20"/>
          <w:szCs w:val="20"/>
        </w:rPr>
        <w:t xml:space="preserve"> u pacientů s hodnotou </w:t>
      </w:r>
      <w:proofErr w:type="spellStart"/>
      <w:r w:rsidR="00B0627E" w:rsidRPr="002D5C87">
        <w:rPr>
          <w:rFonts w:ascii="Arial Narrow" w:hAnsi="Arial Narrow"/>
          <w:bCs/>
          <w:color w:val="000000"/>
          <w:sz w:val="20"/>
          <w:szCs w:val="20"/>
        </w:rPr>
        <w:t>eGFR</w:t>
      </w:r>
      <w:proofErr w:type="spellEnd"/>
      <w:r w:rsidR="00B0627E" w:rsidRPr="002D5C87">
        <w:rPr>
          <w:rFonts w:ascii="Arial Narrow" w:hAnsi="Arial Narrow"/>
          <w:bCs/>
          <w:color w:val="000000"/>
          <w:sz w:val="20"/>
          <w:szCs w:val="20"/>
        </w:rPr>
        <w:t xml:space="preserve"> &lt;45 ml/min/1,73 m2 snižuje a u pacientů s hodnotou </w:t>
      </w:r>
      <w:proofErr w:type="spellStart"/>
      <w:r w:rsidR="00B0627E" w:rsidRPr="002D5C87">
        <w:rPr>
          <w:rFonts w:ascii="Arial Narrow" w:hAnsi="Arial Narrow"/>
          <w:bCs/>
          <w:color w:val="000000"/>
          <w:sz w:val="20"/>
          <w:szCs w:val="20"/>
        </w:rPr>
        <w:t>eGFR</w:t>
      </w:r>
      <w:proofErr w:type="spellEnd"/>
      <w:r w:rsidR="00B0627E" w:rsidRPr="002D5C87">
        <w:rPr>
          <w:rFonts w:ascii="Arial Narrow" w:hAnsi="Arial Narrow"/>
          <w:bCs/>
          <w:color w:val="000000"/>
          <w:sz w:val="20"/>
          <w:szCs w:val="20"/>
        </w:rPr>
        <w:t xml:space="preserve"> &lt;30 ml/min/1,73 m2 pravděpodobně mizí zcela.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Kontraindikace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: Hypersenzitivita na léčivou látku nebo na kteroukoli pomocnou látku.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Zvláštní upozornění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: U pacientů, u kterých existuje podezření na </w:t>
      </w:r>
      <w:proofErr w:type="spellStart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>ketoacidózu</w:t>
      </w:r>
      <w:proofErr w:type="spellEnd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nebo u kterých byla </w:t>
      </w:r>
      <w:proofErr w:type="spellStart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>ketoacidóza</w:t>
      </w:r>
      <w:proofErr w:type="spellEnd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diagnostikována, je nutné léčbu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empagliflozinem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okamžitě ukončit. Léčbu je třeba přerušit u pacientů, kteří jsou hospitalizováni z důvodu velkých chirurgických výkonů nebo akutního závažného zdravotního stavu. Před zahájením léčby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empagliflozinem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je třeba v pacientově anamnéze zvážit faktory s predispozicí k diabetické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ketoacidóze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>.</w:t>
      </w:r>
      <w:r w:rsidR="009D51D8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proofErr w:type="spellStart"/>
      <w:r w:rsidR="009D51D8" w:rsidRPr="002D5C87">
        <w:rPr>
          <w:rFonts w:ascii="Arial Narrow" w:hAnsi="Arial Narrow"/>
          <w:bCs/>
          <w:color w:val="000000"/>
          <w:sz w:val="20"/>
          <w:szCs w:val="20"/>
        </w:rPr>
        <w:t>Empagliflozin</w:t>
      </w:r>
      <w:proofErr w:type="spellEnd"/>
      <w:r w:rsidR="009D51D8" w:rsidRPr="002D5C87">
        <w:rPr>
          <w:rFonts w:ascii="Arial Narrow" w:hAnsi="Arial Narrow"/>
          <w:bCs/>
          <w:color w:val="000000"/>
          <w:sz w:val="20"/>
          <w:szCs w:val="20"/>
        </w:rPr>
        <w:t xml:space="preserve"> se nemá používat u pacientů s diabetem I. typu. 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Pacienti ve věku 75 let a starší mohou mít vyšší riziko hypovolemie. Tablety obsahují laktózu, proto pacienti s intolerancí galaktózy, vrozeným deficitem laktázy nebo malabsorpcí glukózy a galaktózy, by tento přípravek neměli užívat.</w:t>
      </w:r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 xml:space="preserve"> U pacientů ženského i mužského pohlaví </w:t>
      </w:r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s diabetes </w:t>
      </w:r>
      <w:proofErr w:type="spellStart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>mellitus</w:t>
      </w:r>
      <w:proofErr w:type="spellEnd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 xml:space="preserve">užívajících inhibitory SGLT2 byly hlášeny případy nekrotizující </w:t>
      </w:r>
      <w:proofErr w:type="spellStart"/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>fasciitidy</w:t>
      </w:r>
      <w:proofErr w:type="spellEnd"/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 xml:space="preserve"> perinea (</w:t>
      </w:r>
      <w:proofErr w:type="spellStart"/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>Fournierova</w:t>
      </w:r>
      <w:proofErr w:type="spellEnd"/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 xml:space="preserve"> gangréna). V případě podezření na </w:t>
      </w:r>
      <w:proofErr w:type="spellStart"/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>Fournierovu</w:t>
      </w:r>
      <w:proofErr w:type="spellEnd"/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 xml:space="preserve"> gangrénu je třeba přípravek </w:t>
      </w:r>
      <w:proofErr w:type="spellStart"/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>Jardiance</w:t>
      </w:r>
      <w:proofErr w:type="spellEnd"/>
      <w:r w:rsidR="00C514AB" w:rsidRPr="002D5C87">
        <w:rPr>
          <w:rFonts w:ascii="Arial Narrow" w:hAnsi="Arial Narrow"/>
          <w:bCs/>
          <w:color w:val="000000"/>
          <w:sz w:val="20"/>
          <w:szCs w:val="20"/>
        </w:rPr>
        <w:t xml:space="preserve"> vysadit a rychle zahájit léčbu.</w:t>
      </w:r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Interakce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: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Empagliflozin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může zvýšit diuretický efekt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thiazidových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a kličkových diuretik a může zvyšovat riziko dehydratace a hypotenze.</w:t>
      </w:r>
      <w:r w:rsidR="00886AE9" w:rsidRPr="002D5C87">
        <w:rPr>
          <w:rFonts w:ascii="Arial Narrow" w:hAnsi="Arial Narrow"/>
          <w:bCs/>
          <w:color w:val="000000"/>
          <w:sz w:val="20"/>
          <w:szCs w:val="20"/>
        </w:rPr>
        <w:t xml:space="preserve"> Pokud je </w:t>
      </w:r>
      <w:proofErr w:type="spellStart"/>
      <w:r w:rsidR="00886AE9" w:rsidRPr="002D5C87">
        <w:rPr>
          <w:rFonts w:ascii="Arial Narrow" w:hAnsi="Arial Narrow"/>
          <w:bCs/>
          <w:color w:val="000000"/>
          <w:sz w:val="20"/>
          <w:szCs w:val="20"/>
        </w:rPr>
        <w:t>empagliflozin</w:t>
      </w:r>
      <w:proofErr w:type="spellEnd"/>
      <w:r w:rsidR="00886AE9" w:rsidRPr="002D5C87">
        <w:rPr>
          <w:rFonts w:ascii="Arial Narrow" w:hAnsi="Arial Narrow"/>
          <w:bCs/>
          <w:color w:val="000000"/>
          <w:sz w:val="20"/>
          <w:szCs w:val="20"/>
        </w:rPr>
        <w:t xml:space="preserve"> podáván v kombinaci s inzulinem nebo inzulinovým </w:t>
      </w:r>
      <w:proofErr w:type="spellStart"/>
      <w:r w:rsidR="00886AE9" w:rsidRPr="002D5C87">
        <w:rPr>
          <w:rFonts w:ascii="Arial Narrow" w:hAnsi="Arial Narrow"/>
          <w:bCs/>
          <w:color w:val="000000"/>
          <w:sz w:val="20"/>
          <w:szCs w:val="20"/>
        </w:rPr>
        <w:t>sekretagogem</w:t>
      </w:r>
      <w:proofErr w:type="spellEnd"/>
      <w:r w:rsidR="00886AE9" w:rsidRPr="002D5C87">
        <w:rPr>
          <w:rFonts w:ascii="Arial Narrow" w:hAnsi="Arial Narrow"/>
          <w:bCs/>
          <w:color w:val="000000"/>
          <w:sz w:val="20"/>
          <w:szCs w:val="20"/>
        </w:rPr>
        <w:t xml:space="preserve">, lze z důvodu snížení rizika vzniku hypoglykemie zvážit nižší dávku inzulinu nebo inzulinového </w:t>
      </w:r>
      <w:proofErr w:type="spellStart"/>
      <w:r w:rsidR="00886AE9" w:rsidRPr="002D5C87">
        <w:rPr>
          <w:rFonts w:ascii="Arial Narrow" w:hAnsi="Arial Narrow"/>
          <w:bCs/>
          <w:color w:val="000000"/>
          <w:sz w:val="20"/>
          <w:szCs w:val="20"/>
        </w:rPr>
        <w:t>sekretagoga</w:t>
      </w:r>
      <w:proofErr w:type="spellEnd"/>
      <w:r w:rsidR="00DC7CF0">
        <w:rPr>
          <w:rFonts w:ascii="Arial Narrow" w:hAnsi="Arial Narrow"/>
          <w:bCs/>
          <w:color w:val="000000"/>
          <w:sz w:val="20"/>
          <w:szCs w:val="20"/>
        </w:rPr>
        <w:t>.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502AE6" w:rsidRPr="00502AE6">
        <w:rPr>
          <w:rFonts w:ascii="Arial Narrow" w:hAnsi="Arial Narrow"/>
          <w:bCs/>
          <w:color w:val="000000"/>
          <w:sz w:val="20"/>
          <w:szCs w:val="20"/>
        </w:rPr>
        <w:t>Studie interakcí byly provedeny pouze u dospělých.</w:t>
      </w:r>
      <w:r w:rsidR="00502AE6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Nežádoucí účinky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>: Nejčastěji hlášenými nežádoucími příhodami v klinických hodnoceních</w:t>
      </w:r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 na </w:t>
      </w:r>
      <w:r w:rsidR="00E36502" w:rsidRPr="002D5C87">
        <w:rPr>
          <w:rFonts w:ascii="Arial Narrow" w:hAnsi="Arial Narrow"/>
          <w:bCs/>
          <w:color w:val="000000"/>
          <w:sz w:val="20"/>
          <w:szCs w:val="20"/>
        </w:rPr>
        <w:t>d</w:t>
      </w:r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iabetes </w:t>
      </w:r>
      <w:proofErr w:type="spellStart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>mellitus</w:t>
      </w:r>
      <w:proofErr w:type="spellEnd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 II. typu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byly hypoglykemie (při kombinované léčbě s derivátem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sulfonylurey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nebo inzulinem)</w:t>
      </w:r>
      <w:r w:rsidR="006177CF">
        <w:rPr>
          <w:rFonts w:ascii="Arial Narrow" w:hAnsi="Arial Narrow"/>
          <w:bCs/>
          <w:color w:val="000000"/>
          <w:sz w:val="20"/>
          <w:szCs w:val="20"/>
        </w:rPr>
        <w:t>.</w:t>
      </w:r>
      <w:r w:rsidR="006177CF">
        <w:t xml:space="preserve"> </w:t>
      </w:r>
      <w:r w:rsidR="006177CF" w:rsidRPr="002D5C87">
        <w:rPr>
          <w:rFonts w:ascii="Arial Narrow" w:hAnsi="Arial Narrow"/>
          <w:color w:val="000000"/>
          <w:sz w:val="20"/>
          <w:szCs w:val="18"/>
        </w:rPr>
        <w:t>*</w:t>
      </w:r>
      <w:r w:rsidR="006177CF">
        <w:rPr>
          <w:rFonts w:ascii="Arial Narrow" w:hAnsi="Arial Narrow"/>
          <w:bCs/>
          <w:color w:val="000000"/>
          <w:sz w:val="20"/>
          <w:szCs w:val="20"/>
        </w:rPr>
        <w:t>Ne</w:t>
      </w:r>
      <w:r w:rsidR="006177CF" w:rsidRPr="006177CF">
        <w:rPr>
          <w:rFonts w:ascii="Arial Narrow" w:hAnsi="Arial Narrow"/>
          <w:bCs/>
          <w:color w:val="000000"/>
          <w:sz w:val="20"/>
          <w:szCs w:val="20"/>
        </w:rPr>
        <w:t xml:space="preserve">jčastějším nežádoucím účinkem léčiva </w:t>
      </w:r>
      <w:r w:rsidR="006177CF">
        <w:rPr>
          <w:rFonts w:ascii="Arial Narrow" w:hAnsi="Arial Narrow"/>
          <w:bCs/>
          <w:color w:val="000000"/>
          <w:sz w:val="20"/>
          <w:szCs w:val="20"/>
        </w:rPr>
        <w:t xml:space="preserve">u dětí byla </w:t>
      </w:r>
      <w:r w:rsidR="006177CF" w:rsidRPr="006177CF">
        <w:rPr>
          <w:rFonts w:ascii="Arial Narrow" w:hAnsi="Arial Narrow"/>
          <w:bCs/>
          <w:color w:val="000000"/>
          <w:sz w:val="20"/>
          <w:szCs w:val="20"/>
        </w:rPr>
        <w:t>hypoglykemie</w:t>
      </w:r>
      <w:r w:rsidR="006177CF">
        <w:rPr>
          <w:rFonts w:ascii="Arial Narrow" w:hAnsi="Arial Narrow"/>
          <w:bCs/>
          <w:color w:val="000000"/>
          <w:sz w:val="20"/>
          <w:szCs w:val="20"/>
        </w:rPr>
        <w:t>. C</w:t>
      </w:r>
      <w:r w:rsidR="006177CF" w:rsidRPr="006177CF">
        <w:rPr>
          <w:rFonts w:ascii="Arial Narrow" w:hAnsi="Arial Narrow"/>
          <w:bCs/>
          <w:color w:val="000000"/>
          <w:sz w:val="20"/>
          <w:szCs w:val="20"/>
        </w:rPr>
        <w:t xml:space="preserve">elkově byl </w:t>
      </w:r>
      <w:r w:rsidR="006177CF">
        <w:rPr>
          <w:rFonts w:ascii="Arial Narrow" w:hAnsi="Arial Narrow"/>
          <w:bCs/>
          <w:color w:val="000000"/>
          <w:sz w:val="20"/>
          <w:szCs w:val="20"/>
        </w:rPr>
        <w:t xml:space="preserve">ale </w:t>
      </w:r>
      <w:r w:rsidR="006177CF" w:rsidRPr="006177CF">
        <w:rPr>
          <w:rFonts w:ascii="Arial Narrow" w:hAnsi="Arial Narrow"/>
          <w:bCs/>
          <w:color w:val="000000"/>
          <w:sz w:val="20"/>
          <w:szCs w:val="20"/>
        </w:rPr>
        <w:t xml:space="preserve">bezpečnostní profil u dětí podobný bezpečnostnímu profilu u dospělých s onemocněním diabetes </w:t>
      </w:r>
      <w:proofErr w:type="spellStart"/>
      <w:r w:rsidR="006177CF" w:rsidRPr="006177CF">
        <w:rPr>
          <w:rFonts w:ascii="Arial Narrow" w:hAnsi="Arial Narrow"/>
          <w:bCs/>
          <w:color w:val="000000"/>
          <w:sz w:val="20"/>
          <w:szCs w:val="20"/>
        </w:rPr>
        <w:t>mellitus</w:t>
      </w:r>
      <w:proofErr w:type="spellEnd"/>
      <w:r w:rsidR="006177CF" w:rsidRPr="006177CF">
        <w:rPr>
          <w:rFonts w:ascii="Arial Narrow" w:hAnsi="Arial Narrow"/>
          <w:bCs/>
          <w:color w:val="000000"/>
          <w:sz w:val="20"/>
          <w:szCs w:val="20"/>
        </w:rPr>
        <w:t xml:space="preserve"> II. typu.</w:t>
      </w:r>
      <w:r w:rsidR="006177CF">
        <w:rPr>
          <w:rFonts w:ascii="Arial Narrow" w:hAnsi="Arial Narrow"/>
          <w:bCs/>
          <w:color w:val="000000"/>
          <w:sz w:val="20"/>
          <w:szCs w:val="20"/>
        </w:rPr>
        <w:t xml:space="preserve"> U dospělých se 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dále </w:t>
      </w:r>
      <w:r w:rsidR="006177CF">
        <w:rPr>
          <w:rFonts w:ascii="Arial Narrow" w:hAnsi="Arial Narrow"/>
          <w:bCs/>
          <w:color w:val="000000"/>
          <w:sz w:val="20"/>
          <w:szCs w:val="20"/>
        </w:rPr>
        <w:t xml:space="preserve">vyskytovala 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vaginální moniliáza, vulvovaginitida, balanitida a jiné infekce genitálu, infekce močových cest, žízeň, pruritus, časté močení; hypovolemie, dysurie; zvýšená hladina kreatininu v krvi/snížená glomerulární filtrace, zvýšený hematokrit, zvýšené sérové lipidy; a vzácně diabetická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ketoacidóza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. </w:t>
      </w:r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>Nejčastěji hlášenými nežádoucími příhodami v klinických hodnoceních</w:t>
      </w:r>
      <w:r w:rsidR="006B7457" w:rsidRPr="002D5C87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D24A11" w:rsidRPr="002D5C87">
        <w:rPr>
          <w:rFonts w:ascii="Arial Narrow" w:hAnsi="Arial Narrow"/>
          <w:bCs/>
          <w:color w:val="000000"/>
          <w:sz w:val="20"/>
          <w:szCs w:val="20"/>
        </w:rPr>
        <w:t>u</w:t>
      </w:r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D24A11" w:rsidRPr="002D5C87">
        <w:rPr>
          <w:rFonts w:ascii="Arial Narrow" w:hAnsi="Arial Narrow"/>
          <w:bCs/>
          <w:color w:val="000000"/>
          <w:sz w:val="20"/>
          <w:szCs w:val="20"/>
        </w:rPr>
        <w:t>s</w:t>
      </w:r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>rdeční</w:t>
      </w:r>
      <w:r w:rsidR="00D24A11" w:rsidRPr="002D5C87">
        <w:rPr>
          <w:rFonts w:ascii="Arial Narrow" w:hAnsi="Arial Narrow"/>
          <w:bCs/>
          <w:color w:val="000000"/>
          <w:sz w:val="20"/>
          <w:szCs w:val="20"/>
        </w:rPr>
        <w:t>ho</w:t>
      </w:r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 selhání byla hypovolemie; dále zácpa, </w:t>
      </w:r>
      <w:proofErr w:type="spellStart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>angioedém</w:t>
      </w:r>
      <w:proofErr w:type="spellEnd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. Přítomnost Diabetes </w:t>
      </w:r>
      <w:proofErr w:type="spellStart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>mellitus</w:t>
      </w:r>
      <w:proofErr w:type="spellEnd"/>
      <w:r w:rsidR="006B7457" w:rsidRPr="002D5C87">
        <w:rPr>
          <w:rFonts w:ascii="Arial Narrow" w:hAnsi="Arial Narrow"/>
          <w:bCs/>
          <w:color w:val="000000"/>
          <w:sz w:val="20"/>
          <w:szCs w:val="20"/>
        </w:rPr>
        <w:t xml:space="preserve"> II. typu zvyšovala frekvenci nežádoucích účinků u pacientů se srdečním selháním. </w:t>
      </w:r>
      <w:r w:rsidR="002D5C87" w:rsidRPr="002D5C87">
        <w:rPr>
          <w:rFonts w:ascii="Arial Narrow" w:hAnsi="Arial Narrow"/>
          <w:color w:val="000000"/>
          <w:sz w:val="20"/>
          <w:szCs w:val="18"/>
        </w:rPr>
        <w:t>*</w:t>
      </w:r>
      <w:r w:rsidR="00114281" w:rsidRPr="002D5C87">
        <w:rPr>
          <w:rFonts w:ascii="Arial Narrow" w:hAnsi="Arial Narrow"/>
          <w:bCs/>
          <w:color w:val="000000"/>
          <w:sz w:val="20"/>
          <w:szCs w:val="20"/>
        </w:rPr>
        <w:t>Nejčastějším nežádoucím účinkem v</w:t>
      </w:r>
      <w:r w:rsidR="004E71E7" w:rsidRPr="002D5C87">
        <w:rPr>
          <w:rFonts w:ascii="Arial Narrow" w:hAnsi="Arial Narrow"/>
          <w:bCs/>
          <w:color w:val="000000"/>
          <w:sz w:val="20"/>
          <w:szCs w:val="20"/>
        </w:rPr>
        <w:t xml:space="preserve"> klinickém hodnocení u chronického onemocnění ledvin </w:t>
      </w:r>
      <w:r w:rsidR="00114281" w:rsidRPr="002D5C87">
        <w:rPr>
          <w:rFonts w:ascii="Arial Narrow" w:hAnsi="Arial Narrow"/>
          <w:bCs/>
          <w:color w:val="000000"/>
          <w:sz w:val="20"/>
          <w:szCs w:val="20"/>
        </w:rPr>
        <w:t>byla dna a akutní selhání ledvin, které byly hlášeny častěji u pacientů, kteří dostávali placebo.</w:t>
      </w:r>
      <w:r w:rsidR="000A720A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114281" w:rsidRPr="002D5C87">
        <w:rPr>
          <w:rFonts w:ascii="Arial Narrow" w:hAnsi="Arial Narrow"/>
          <w:bCs/>
          <w:color w:val="000000"/>
          <w:sz w:val="20"/>
          <w:szCs w:val="20"/>
        </w:rPr>
        <w:t xml:space="preserve">Celkový bezpečnostní profil </w:t>
      </w:r>
      <w:proofErr w:type="spellStart"/>
      <w:r w:rsidR="00114281" w:rsidRPr="002D5C87">
        <w:rPr>
          <w:rFonts w:ascii="Arial Narrow" w:hAnsi="Arial Narrow"/>
          <w:bCs/>
          <w:color w:val="000000"/>
          <w:sz w:val="20"/>
          <w:szCs w:val="20"/>
        </w:rPr>
        <w:t>empagliflozinu</w:t>
      </w:r>
      <w:proofErr w:type="spellEnd"/>
      <w:r w:rsidR="00114281" w:rsidRPr="002D5C87">
        <w:rPr>
          <w:rFonts w:ascii="Arial Narrow" w:hAnsi="Arial Narrow"/>
          <w:bCs/>
          <w:color w:val="000000"/>
          <w:sz w:val="20"/>
          <w:szCs w:val="20"/>
        </w:rPr>
        <w:t xml:space="preserve"> byl obecně v rámci hodnocených indikací konzistentní.</w:t>
      </w:r>
      <w:r w:rsidR="00BF59EB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Těhotenství a kojení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: Podávání přípravku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Jardiance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v těhotenství se z preventivních důvodů nedoporučuje. Přípravek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Jardiance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se během kojení nemá podávat.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Balení, výdej a uchovávání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: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Jednodávkové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PVC/Al blistry v krabičce obsahující </w:t>
      </w:r>
      <w:r w:rsidR="0082685F" w:rsidRPr="002D5C87">
        <w:rPr>
          <w:rFonts w:ascii="Arial Narrow" w:hAnsi="Arial Narrow"/>
          <w:bCs/>
          <w:color w:val="000000"/>
          <w:sz w:val="20"/>
          <w:szCs w:val="20"/>
        </w:rPr>
        <w:t xml:space="preserve">28x1, 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>30x1</w:t>
      </w:r>
      <w:r w:rsidR="00490E52" w:rsidRPr="002D5C87">
        <w:rPr>
          <w:rFonts w:ascii="Arial Narrow" w:hAnsi="Arial Narrow"/>
          <w:bCs/>
          <w:color w:val="000000"/>
          <w:sz w:val="20"/>
          <w:szCs w:val="20"/>
        </w:rPr>
        <w:t>, 90x1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nebo </w:t>
      </w:r>
      <w:r w:rsidR="00490E52" w:rsidRPr="002D5C87">
        <w:rPr>
          <w:rFonts w:ascii="Arial Narrow" w:hAnsi="Arial Narrow"/>
          <w:bCs/>
          <w:color w:val="000000"/>
          <w:sz w:val="20"/>
          <w:szCs w:val="20"/>
        </w:rPr>
        <w:t>10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0x1 potahovaných tablet. Výdej přípravku je vázán na lékařský předpis a je částečně hrazen z prostředků veřejného zdravotního pojištění. Tento léčivý přípravek nevyžaduje žádné zvláštní podmínky uchovávání.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Registrační čísl</w:t>
      </w:r>
      <w:r w:rsidR="00BD4729" w:rsidRPr="002D5C87">
        <w:rPr>
          <w:rFonts w:ascii="Arial Narrow" w:hAnsi="Arial Narrow"/>
          <w:b/>
          <w:color w:val="000000"/>
          <w:sz w:val="20"/>
          <w:szCs w:val="20"/>
        </w:rPr>
        <w:t>a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: </w:t>
      </w:r>
      <w:r w:rsidR="00BD4729" w:rsidRPr="002D5C87">
        <w:rPr>
          <w:rFonts w:ascii="Arial Narrow" w:hAnsi="Arial Narrow"/>
          <w:bCs/>
          <w:color w:val="000000"/>
          <w:sz w:val="20"/>
          <w:szCs w:val="20"/>
        </w:rPr>
        <w:t>EU/1/14/930/</w:t>
      </w:r>
      <w:proofErr w:type="gramStart"/>
      <w:r w:rsidR="00BD4729" w:rsidRPr="002D5C87">
        <w:rPr>
          <w:rFonts w:ascii="Arial Narrow" w:hAnsi="Arial Narrow"/>
          <w:bCs/>
          <w:color w:val="000000"/>
          <w:sz w:val="20"/>
          <w:szCs w:val="20"/>
        </w:rPr>
        <w:t>013</w:t>
      </w:r>
      <w:r w:rsidR="00F16278" w:rsidRPr="002D5C87">
        <w:rPr>
          <w:rFonts w:ascii="Arial Narrow" w:hAnsi="Arial Narrow"/>
          <w:bCs/>
          <w:color w:val="000000"/>
          <w:sz w:val="20"/>
          <w:szCs w:val="20"/>
        </w:rPr>
        <w:t xml:space="preserve"> – 28</w:t>
      </w:r>
      <w:proofErr w:type="gramEnd"/>
      <w:r w:rsidR="00F16278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proofErr w:type="spellStart"/>
      <w:r w:rsidR="00F16278" w:rsidRPr="002D5C87">
        <w:rPr>
          <w:rFonts w:ascii="Arial Narrow" w:hAnsi="Arial Narrow"/>
          <w:bCs/>
          <w:color w:val="000000"/>
          <w:sz w:val="20"/>
          <w:szCs w:val="20"/>
        </w:rPr>
        <w:t>tbl</w:t>
      </w:r>
      <w:proofErr w:type="spellEnd"/>
      <w:r w:rsidR="00F16278" w:rsidRPr="002D5C87">
        <w:rPr>
          <w:rFonts w:ascii="Arial Narrow" w:hAnsi="Arial Narrow"/>
          <w:bCs/>
          <w:color w:val="000000"/>
          <w:sz w:val="20"/>
          <w:szCs w:val="20"/>
        </w:rPr>
        <w:t xml:space="preserve"> (10 mg</w:t>
      </w:r>
      <w:r w:rsidR="00FA331F" w:rsidRPr="002D5C87">
        <w:rPr>
          <w:rFonts w:ascii="Arial Narrow" w:hAnsi="Arial Narrow"/>
          <w:bCs/>
          <w:color w:val="000000"/>
          <w:sz w:val="20"/>
          <w:szCs w:val="20"/>
        </w:rPr>
        <w:t xml:space="preserve">), 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EU/1/14/930/014 – 30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tbl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(10 mg), EU/1/14/930/017 – 90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tbl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(10 mg),</w:t>
      </w:r>
      <w:r w:rsidR="0076435F"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A44714" w:rsidRPr="002D5C87">
        <w:rPr>
          <w:rFonts w:ascii="Arial Narrow" w:hAnsi="Arial Narrow"/>
          <w:bCs/>
          <w:color w:val="000000"/>
          <w:sz w:val="20"/>
          <w:szCs w:val="20"/>
        </w:rPr>
        <w:t xml:space="preserve">EU/1/14/930/018 – 100 </w:t>
      </w:r>
      <w:proofErr w:type="spellStart"/>
      <w:r w:rsidR="00A44714" w:rsidRPr="002D5C87">
        <w:rPr>
          <w:rFonts w:ascii="Arial Narrow" w:hAnsi="Arial Narrow"/>
          <w:bCs/>
          <w:color w:val="000000"/>
          <w:sz w:val="20"/>
          <w:szCs w:val="20"/>
        </w:rPr>
        <w:t>tbl</w:t>
      </w:r>
      <w:proofErr w:type="spellEnd"/>
      <w:r w:rsidR="00A44714" w:rsidRPr="002D5C87">
        <w:rPr>
          <w:rFonts w:ascii="Arial Narrow" w:hAnsi="Arial Narrow"/>
          <w:bCs/>
          <w:color w:val="000000"/>
          <w:sz w:val="20"/>
          <w:szCs w:val="20"/>
        </w:rPr>
        <w:t xml:space="preserve"> (10 mg).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Datum poslední revize textu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: </w:t>
      </w:r>
      <w:r w:rsidR="00502AE6">
        <w:rPr>
          <w:rFonts w:ascii="Arial Narrow" w:hAnsi="Arial Narrow"/>
          <w:bCs/>
          <w:color w:val="000000"/>
          <w:sz w:val="20"/>
          <w:szCs w:val="20"/>
        </w:rPr>
        <w:t>7</w:t>
      </w:r>
      <w:r w:rsidR="00060269" w:rsidRPr="002D5C87">
        <w:rPr>
          <w:rFonts w:ascii="Arial Narrow" w:hAnsi="Arial Narrow"/>
          <w:bCs/>
          <w:color w:val="000000"/>
          <w:sz w:val="20"/>
          <w:szCs w:val="20"/>
        </w:rPr>
        <w:t>.</w:t>
      </w:r>
      <w:r w:rsidR="00502AE6">
        <w:rPr>
          <w:rFonts w:ascii="Arial Narrow" w:hAnsi="Arial Narrow"/>
          <w:bCs/>
          <w:color w:val="000000"/>
          <w:sz w:val="20"/>
          <w:szCs w:val="20"/>
        </w:rPr>
        <w:t xml:space="preserve"> 12</w:t>
      </w:r>
      <w:r w:rsidR="00060269" w:rsidRPr="002D5C87">
        <w:rPr>
          <w:rFonts w:ascii="Arial Narrow" w:hAnsi="Arial Narrow"/>
          <w:bCs/>
          <w:color w:val="000000"/>
          <w:sz w:val="20"/>
          <w:szCs w:val="20"/>
        </w:rPr>
        <w:t>. 202</w:t>
      </w:r>
      <w:r w:rsidR="0028297B" w:rsidRPr="002D5C87">
        <w:rPr>
          <w:rFonts w:ascii="Arial Narrow" w:hAnsi="Arial Narrow"/>
          <w:bCs/>
          <w:color w:val="000000"/>
          <w:sz w:val="20"/>
          <w:szCs w:val="20"/>
        </w:rPr>
        <w:t>3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. </w:t>
      </w:r>
      <w:r w:rsidRPr="002D5C87">
        <w:rPr>
          <w:rFonts w:ascii="Arial Narrow" w:hAnsi="Arial Narrow"/>
          <w:b/>
          <w:color w:val="000000"/>
          <w:sz w:val="20"/>
          <w:szCs w:val="20"/>
        </w:rPr>
        <w:t>Držitel rozhodnutí o registraci</w:t>
      </w: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: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Boehringer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Ingelheim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International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GmbH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,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Binger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Str. 173, D 55216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Ingelheim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am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proofErr w:type="spellStart"/>
      <w:r w:rsidRPr="002D5C87">
        <w:rPr>
          <w:rFonts w:ascii="Arial Narrow" w:hAnsi="Arial Narrow"/>
          <w:bCs/>
          <w:color w:val="000000"/>
          <w:sz w:val="20"/>
          <w:szCs w:val="20"/>
        </w:rPr>
        <w:t>Rhein</w:t>
      </w:r>
      <w:proofErr w:type="spellEnd"/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, Německo. </w:t>
      </w:r>
    </w:p>
    <w:p w14:paraId="74586D3B" w14:textId="37DB7226" w:rsidR="002D5C87" w:rsidRPr="000A720A" w:rsidRDefault="002D5C87" w:rsidP="002D5C87">
      <w:pPr>
        <w:rPr>
          <w:rFonts w:ascii="Arial Narrow" w:hAnsi="Arial Narrow"/>
          <w:color w:val="000000"/>
          <w:sz w:val="20"/>
          <w:szCs w:val="18"/>
          <w:u w:val="single"/>
        </w:rPr>
      </w:pPr>
      <w:r w:rsidRPr="000A720A">
        <w:rPr>
          <w:rFonts w:ascii="Arial Narrow" w:hAnsi="Arial Narrow"/>
          <w:color w:val="000000"/>
          <w:sz w:val="20"/>
          <w:szCs w:val="18"/>
          <w:u w:val="single"/>
        </w:rPr>
        <w:t>*Všimněte si, prosím, změny v informacích o léčivém přípravku</w:t>
      </w:r>
    </w:p>
    <w:p w14:paraId="04189FC3" w14:textId="77777777" w:rsidR="000A720A" w:rsidRDefault="000A720A" w:rsidP="00F70CAA">
      <w:pPr>
        <w:outlineLvl w:val="0"/>
        <w:rPr>
          <w:rFonts w:ascii="Arial Narrow" w:hAnsi="Arial Narrow"/>
          <w:bCs/>
          <w:color w:val="000000"/>
          <w:sz w:val="20"/>
          <w:szCs w:val="20"/>
        </w:rPr>
      </w:pPr>
    </w:p>
    <w:p w14:paraId="08AE6A2D" w14:textId="1F9DCEF0" w:rsidR="00F70CAA" w:rsidRPr="002D5C87" w:rsidRDefault="00F70CAA" w:rsidP="00F70CAA">
      <w:pPr>
        <w:outlineLvl w:val="0"/>
        <w:rPr>
          <w:rFonts w:ascii="Arial Narrow" w:hAnsi="Arial Narrow"/>
          <w:bCs/>
          <w:color w:val="000000"/>
          <w:sz w:val="16"/>
          <w:szCs w:val="16"/>
        </w:rPr>
      </w:pPr>
      <w:r w:rsidRPr="002D5C87">
        <w:rPr>
          <w:rFonts w:ascii="Arial Narrow" w:hAnsi="Arial Narrow"/>
          <w:bCs/>
          <w:color w:val="000000"/>
          <w:sz w:val="20"/>
          <w:szCs w:val="20"/>
        </w:rPr>
        <w:t xml:space="preserve">Před předepsáním se prosím seznamte s úplným zněním souhrnu údajů o přípravku. Úplné znění souhrnu údajů o přípravku je uveřejněno na webových stránkách Evropské agentury pro léčivé přípravky: http://www.ema.europa.eu/ popř. na stránkách Státního ústavu pro kontrolu léčiv </w:t>
      </w:r>
      <w:hyperlink r:id="rId4" w:history="1">
        <w:r w:rsidRPr="002D5C87">
          <w:rPr>
            <w:rStyle w:val="Hypertextovodkaz"/>
            <w:rFonts w:ascii="Arial Narrow" w:hAnsi="Arial Narrow"/>
            <w:bCs/>
            <w:sz w:val="20"/>
            <w:szCs w:val="20"/>
          </w:rPr>
          <w:t>www.sukl.cz</w:t>
        </w:r>
      </w:hyperlink>
      <w:r w:rsidRPr="002D5C87">
        <w:rPr>
          <w:rFonts w:ascii="Arial Narrow" w:hAnsi="Arial Narrow"/>
          <w:bCs/>
          <w:color w:val="000000"/>
          <w:sz w:val="16"/>
          <w:szCs w:val="16"/>
        </w:rPr>
        <w:t>.</w:t>
      </w:r>
    </w:p>
    <w:p w14:paraId="262BEB0F" w14:textId="59A03817" w:rsidR="00935459" w:rsidRPr="002D5C87" w:rsidRDefault="004405F5" w:rsidP="004405F5">
      <w:pPr>
        <w:outlineLvl w:val="0"/>
        <w:rPr>
          <w:rFonts w:ascii="Arial Narrow" w:hAnsi="Arial Narrow"/>
          <w:sz w:val="20"/>
          <w:szCs w:val="18"/>
        </w:rPr>
      </w:pPr>
      <w:proofErr w:type="spellStart"/>
      <w:r w:rsidRPr="002D5C87">
        <w:rPr>
          <w:rFonts w:ascii="Arial Narrow" w:hAnsi="Arial Narrow"/>
          <w:sz w:val="20"/>
          <w:szCs w:val="18"/>
        </w:rPr>
        <w:t>Boehringer</w:t>
      </w:r>
      <w:proofErr w:type="spellEnd"/>
      <w:r w:rsidRPr="002D5C87">
        <w:rPr>
          <w:rFonts w:ascii="Arial Narrow" w:hAnsi="Arial Narrow"/>
          <w:sz w:val="20"/>
          <w:szCs w:val="18"/>
        </w:rPr>
        <w:t xml:space="preserve"> </w:t>
      </w:r>
      <w:proofErr w:type="spellStart"/>
      <w:r w:rsidRPr="002D5C87">
        <w:rPr>
          <w:rFonts w:ascii="Arial Narrow" w:hAnsi="Arial Narrow"/>
          <w:sz w:val="20"/>
          <w:szCs w:val="18"/>
        </w:rPr>
        <w:t>Ingelheim</w:t>
      </w:r>
      <w:proofErr w:type="spellEnd"/>
      <w:r w:rsidRPr="002D5C87">
        <w:rPr>
          <w:rFonts w:ascii="Arial Narrow" w:hAnsi="Arial Narrow"/>
          <w:sz w:val="20"/>
          <w:szCs w:val="18"/>
        </w:rPr>
        <w:t>, spol. s r.o.</w:t>
      </w:r>
      <w:r w:rsidR="00FF6D16">
        <w:rPr>
          <w:rFonts w:ascii="Arial Narrow" w:hAnsi="Arial Narrow"/>
          <w:sz w:val="20"/>
          <w:szCs w:val="18"/>
        </w:rPr>
        <w:t xml:space="preserve"> </w:t>
      </w:r>
      <w:r w:rsidRPr="002D5C87">
        <w:rPr>
          <w:rFonts w:ascii="Arial Narrow" w:hAnsi="Arial Narrow"/>
          <w:sz w:val="20"/>
          <w:szCs w:val="18"/>
        </w:rPr>
        <w:t>· IČO: 48025976; Purkyňova 2121/3 · 110 00 Praha 1</w:t>
      </w:r>
      <w:r w:rsidR="004C3DEA" w:rsidRPr="002D5C87">
        <w:rPr>
          <w:rFonts w:ascii="Arial Narrow" w:hAnsi="Arial Narrow"/>
          <w:sz w:val="20"/>
          <w:szCs w:val="18"/>
        </w:rPr>
        <w:t>; www.boehringer-ingelheim.cz; MEDInfo.CZ@boehringer-ingelheim.com</w:t>
      </w:r>
    </w:p>
    <w:sectPr w:rsidR="00935459" w:rsidRPr="002D5C87" w:rsidSect="002A1762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3E"/>
    <w:rsid w:val="00007999"/>
    <w:rsid w:val="000241ED"/>
    <w:rsid w:val="000324CE"/>
    <w:rsid w:val="00040399"/>
    <w:rsid w:val="00060269"/>
    <w:rsid w:val="00077E0B"/>
    <w:rsid w:val="00090595"/>
    <w:rsid w:val="000A720A"/>
    <w:rsid w:val="00114281"/>
    <w:rsid w:val="00133CA2"/>
    <w:rsid w:val="00171A9F"/>
    <w:rsid w:val="00176E13"/>
    <w:rsid w:val="001F0629"/>
    <w:rsid w:val="0020163D"/>
    <w:rsid w:val="002440D7"/>
    <w:rsid w:val="002531A6"/>
    <w:rsid w:val="00271B52"/>
    <w:rsid w:val="0028297B"/>
    <w:rsid w:val="0029273E"/>
    <w:rsid w:val="002930F3"/>
    <w:rsid w:val="002A0E1D"/>
    <w:rsid w:val="002B3CE0"/>
    <w:rsid w:val="002D5C87"/>
    <w:rsid w:val="00302D5C"/>
    <w:rsid w:val="00334EA7"/>
    <w:rsid w:val="003677A9"/>
    <w:rsid w:val="003741E6"/>
    <w:rsid w:val="003B59E9"/>
    <w:rsid w:val="003E2399"/>
    <w:rsid w:val="004405F5"/>
    <w:rsid w:val="00464305"/>
    <w:rsid w:val="00470135"/>
    <w:rsid w:val="00490E52"/>
    <w:rsid w:val="004A1C6A"/>
    <w:rsid w:val="004C3DEA"/>
    <w:rsid w:val="004E71E7"/>
    <w:rsid w:val="00502AE6"/>
    <w:rsid w:val="0054598F"/>
    <w:rsid w:val="005C02A3"/>
    <w:rsid w:val="005D4D0A"/>
    <w:rsid w:val="005D5FF2"/>
    <w:rsid w:val="005E09C2"/>
    <w:rsid w:val="00617737"/>
    <w:rsid w:val="006177CF"/>
    <w:rsid w:val="00624426"/>
    <w:rsid w:val="0062605A"/>
    <w:rsid w:val="00627B05"/>
    <w:rsid w:val="0068558B"/>
    <w:rsid w:val="006A2686"/>
    <w:rsid w:val="006B7457"/>
    <w:rsid w:val="006D70DF"/>
    <w:rsid w:val="00707DA5"/>
    <w:rsid w:val="007174F4"/>
    <w:rsid w:val="007425B2"/>
    <w:rsid w:val="0075131B"/>
    <w:rsid w:val="0076435F"/>
    <w:rsid w:val="00793E5E"/>
    <w:rsid w:val="007A5792"/>
    <w:rsid w:val="007A7593"/>
    <w:rsid w:val="007D11F4"/>
    <w:rsid w:val="007E1C77"/>
    <w:rsid w:val="007E28EC"/>
    <w:rsid w:val="0082685F"/>
    <w:rsid w:val="00833121"/>
    <w:rsid w:val="00862E84"/>
    <w:rsid w:val="0087031E"/>
    <w:rsid w:val="00881795"/>
    <w:rsid w:val="00886AE9"/>
    <w:rsid w:val="00892B1D"/>
    <w:rsid w:val="00916589"/>
    <w:rsid w:val="0091761A"/>
    <w:rsid w:val="00935459"/>
    <w:rsid w:val="00942D8B"/>
    <w:rsid w:val="00943997"/>
    <w:rsid w:val="009C049E"/>
    <w:rsid w:val="009C2B86"/>
    <w:rsid w:val="009D51D8"/>
    <w:rsid w:val="009E087C"/>
    <w:rsid w:val="00A04F4D"/>
    <w:rsid w:val="00A06F6F"/>
    <w:rsid w:val="00A113C9"/>
    <w:rsid w:val="00A16642"/>
    <w:rsid w:val="00A2061D"/>
    <w:rsid w:val="00A33259"/>
    <w:rsid w:val="00A44173"/>
    <w:rsid w:val="00A44714"/>
    <w:rsid w:val="00AA0F5C"/>
    <w:rsid w:val="00AF3237"/>
    <w:rsid w:val="00B0627E"/>
    <w:rsid w:val="00B32B1A"/>
    <w:rsid w:val="00BB45B6"/>
    <w:rsid w:val="00BB54CB"/>
    <w:rsid w:val="00BC2149"/>
    <w:rsid w:val="00BD4729"/>
    <w:rsid w:val="00BD7380"/>
    <w:rsid w:val="00BE0DE7"/>
    <w:rsid w:val="00BF59EB"/>
    <w:rsid w:val="00C4508B"/>
    <w:rsid w:val="00C514AB"/>
    <w:rsid w:val="00C679D5"/>
    <w:rsid w:val="00C767EA"/>
    <w:rsid w:val="00C92287"/>
    <w:rsid w:val="00C92CD1"/>
    <w:rsid w:val="00C95FCE"/>
    <w:rsid w:val="00CB4D84"/>
    <w:rsid w:val="00CB7592"/>
    <w:rsid w:val="00CE6B4C"/>
    <w:rsid w:val="00D03DE6"/>
    <w:rsid w:val="00D24A11"/>
    <w:rsid w:val="00D36E76"/>
    <w:rsid w:val="00D83CA0"/>
    <w:rsid w:val="00D86732"/>
    <w:rsid w:val="00D924D8"/>
    <w:rsid w:val="00D96E80"/>
    <w:rsid w:val="00D972F5"/>
    <w:rsid w:val="00DA0C76"/>
    <w:rsid w:val="00DA6423"/>
    <w:rsid w:val="00DB5AD4"/>
    <w:rsid w:val="00DB607F"/>
    <w:rsid w:val="00DC7CF0"/>
    <w:rsid w:val="00DD703E"/>
    <w:rsid w:val="00DF1928"/>
    <w:rsid w:val="00E36502"/>
    <w:rsid w:val="00E47A56"/>
    <w:rsid w:val="00E663C9"/>
    <w:rsid w:val="00E85178"/>
    <w:rsid w:val="00E8609A"/>
    <w:rsid w:val="00EA5B0B"/>
    <w:rsid w:val="00EC3CB9"/>
    <w:rsid w:val="00F16278"/>
    <w:rsid w:val="00F418E2"/>
    <w:rsid w:val="00F62E99"/>
    <w:rsid w:val="00F66C7F"/>
    <w:rsid w:val="00F70846"/>
    <w:rsid w:val="00F70CAA"/>
    <w:rsid w:val="00F967C9"/>
    <w:rsid w:val="00FA331F"/>
    <w:rsid w:val="00FA6B97"/>
    <w:rsid w:val="00FA7217"/>
    <w:rsid w:val="00FF3D03"/>
    <w:rsid w:val="00FF5044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5F55"/>
  <w15:docId w15:val="{9E1B91E9-5BE9-40D8-A9FB-DF251097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cs-CZ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03E"/>
    <w:pPr>
      <w:spacing w:after="0" w:line="240" w:lineRule="auto"/>
    </w:pPr>
    <w:rPr>
      <w:rFonts w:ascii="Arial" w:eastAsia="Times New Roman" w:hAnsi="Arial" w:cs="Arial"/>
      <w:sz w:val="24"/>
      <w:szCs w:val="24"/>
      <w:lang w:eastAsia="en-US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70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D703E"/>
    <w:rPr>
      <w:rFonts w:ascii="Arial" w:eastAsia="Times New Roman" w:hAnsi="Arial" w:cs="Arial"/>
      <w:sz w:val="24"/>
      <w:szCs w:val="24"/>
      <w:lang w:eastAsia="en-US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A9F"/>
    <w:rPr>
      <w:rFonts w:ascii="Tahoma" w:eastAsia="Times New Roman" w:hAnsi="Tahoma" w:cs="Tahoma"/>
      <w:sz w:val="16"/>
      <w:szCs w:val="16"/>
      <w:lang w:eastAsia="en-US" w:bidi="he-IL"/>
    </w:rPr>
  </w:style>
  <w:style w:type="character" w:styleId="Hypertextovodkaz">
    <w:name w:val="Hyperlink"/>
    <w:basedOn w:val="Standardnpsmoodstavce"/>
    <w:uiPriority w:val="99"/>
    <w:unhideWhenUsed/>
    <w:rsid w:val="00F70CA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B7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4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457"/>
    <w:rPr>
      <w:rFonts w:ascii="Arial" w:eastAsia="Times New Roman" w:hAnsi="Arial" w:cs="Arial"/>
      <w:sz w:val="20"/>
      <w:szCs w:val="20"/>
      <w:lang w:eastAsia="en-US" w:bidi="he-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457"/>
    <w:rPr>
      <w:rFonts w:ascii="Arial" w:eastAsia="Times New Roman" w:hAnsi="Arial" w:cs="Arial"/>
      <w:b/>
      <w:bCs/>
      <w:sz w:val="20"/>
      <w:szCs w:val="20"/>
      <w:lang w:eastAsia="en-US" w:bidi="he-IL"/>
    </w:rPr>
  </w:style>
  <w:style w:type="paragraph" w:styleId="Revize">
    <w:name w:val="Revision"/>
    <w:hidden/>
    <w:uiPriority w:val="99"/>
    <w:semiHidden/>
    <w:rsid w:val="0082685F"/>
    <w:pPr>
      <w:spacing w:after="0" w:line="240" w:lineRule="auto"/>
    </w:pPr>
    <w:rPr>
      <w:rFonts w:ascii="Arial" w:eastAsia="Times New Roman" w:hAnsi="Arial" w:cs="Arial"/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k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Boehringer Ingelheim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Janda,Otakar (MED) BI-CZ-P</dc:creator>
  <cp:lastModifiedBy>Jerabek,Dr.,Pavel (HP Med Affairs) BI-CZ-P</cp:lastModifiedBy>
  <cp:revision>42</cp:revision>
  <dcterms:created xsi:type="dcterms:W3CDTF">2023-03-13T17:14:00Z</dcterms:created>
  <dcterms:modified xsi:type="dcterms:W3CDTF">2023-12-12T16:50:00Z</dcterms:modified>
</cp:coreProperties>
</file>